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9E12A0">
        <w:trPr>
          <w:trHeight w:val="303"/>
        </w:trPr>
        <w:tc>
          <w:tcPr>
            <w:tcW w:w="5744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9E12A0">
        <w:tc>
          <w:tcPr>
            <w:tcW w:w="5744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BB4B91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>Адаптированная р</w:t>
      </w:r>
      <w:r w:rsidR="00A976A3" w:rsidRPr="009B3C11">
        <w:rPr>
          <w:rFonts w:ascii="Times New Roman" w:hAnsi="Times New Roman"/>
          <w:bCs/>
          <w:color w:val="000000"/>
          <w:sz w:val="24"/>
        </w:rPr>
        <w:t xml:space="preserve">абочая </w:t>
      </w:r>
      <w:r w:rsidR="00A976A3"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423C02" w:rsidRPr="00DE1356" w:rsidRDefault="00423C02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с ЗПР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 w:rsidR="008C023C">
        <w:rPr>
          <w:rFonts w:ascii="Times New Roman" w:hAnsi="Times New Roman" w:cs="Times New Roman"/>
          <w:bCs/>
          <w:color w:val="000000"/>
          <w:sz w:val="24"/>
          <w:szCs w:val="24"/>
        </w:rPr>
        <w:t>Геометрия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976A3" w:rsidRPr="00DE1356" w:rsidRDefault="008C023C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976A3"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F01D92" w:rsidP="00F01D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="001248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1248DA" w:rsidRPr="00124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авторской программы по геометрии для 7-9 классов </w:t>
      </w:r>
      <w:r w:rsidR="001248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1248DA" w:rsidRPr="001248DA">
        <w:rPr>
          <w:rFonts w:ascii="Times New Roman" w:hAnsi="Times New Roman" w:cs="Times New Roman"/>
          <w:bCs/>
          <w:color w:val="000000"/>
          <w:sz w:val="24"/>
          <w:szCs w:val="24"/>
        </w:rPr>
        <w:t>Л.С. Атанасян, В.Ф. Бутузов, С.Б. Кадомцев и др.</w:t>
      </w:r>
    </w:p>
    <w:p w:rsidR="00322984" w:rsidRPr="00DE1356" w:rsidRDefault="00322984" w:rsidP="00F01D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7-9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Т.А.Бурмистрова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1D92" w:rsidRDefault="00F01D92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554540" w:rsidRDefault="00B22BBE" w:rsidP="00B22B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="00554540"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53385A" w:rsidRDefault="0053385A" w:rsidP="001248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</w:t>
      </w:r>
      <w:r w:rsidR="0060006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0006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математике;</w:t>
      </w:r>
    </w:p>
    <w:p w:rsidR="001248DA" w:rsidRDefault="00322984" w:rsidP="001248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7-9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 А. 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2008</w:t>
      </w:r>
      <w:r w:rsidR="00CA2ABE">
        <w:rPr>
          <w:rFonts w:ascii="Times New Roman" w:hAnsi="Times New Roman" w:cs="Times New Roman"/>
          <w:sz w:val="24"/>
          <w:szCs w:val="24"/>
        </w:rPr>
        <w:t>;</w:t>
      </w:r>
    </w:p>
    <w:p w:rsidR="00554540" w:rsidRDefault="00554540" w:rsidP="001248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E2B" w:rsidRDefault="00810E2B" w:rsidP="001248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B95968" w:rsidRPr="00B95968" w:rsidRDefault="00B95968" w:rsidP="00B95968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по геометрии </w:t>
      </w:r>
      <w:r w:rsidRPr="001248DA">
        <w:rPr>
          <w:rFonts w:ascii="Times New Roman" w:hAnsi="Times New Roman" w:cs="Times New Roman"/>
          <w:sz w:val="24"/>
          <w:szCs w:val="24"/>
        </w:rPr>
        <w:t>Л.С. Атанасян</w:t>
      </w:r>
      <w:r>
        <w:rPr>
          <w:rFonts w:ascii="Times New Roman" w:hAnsi="Times New Roman" w:cs="Times New Roman"/>
          <w:sz w:val="24"/>
          <w:szCs w:val="24"/>
        </w:rPr>
        <w:t>а (изд. Просвещение).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B22BB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>Важными коррекционными задачами курса геометрии коррекционно-развивающего обучения являются:</w:t>
      </w: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>- развитие у учащихся основных мыслительных операций (анализ, синтез, сравнение, обобщение);</w:t>
      </w: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>- нормализация взаимосвязи деятельности с речью;</w:t>
      </w: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>- формирование приемов умственной работы (анализ исходных данных, планирование деятельности, осуществление поэтапного и итогового</w:t>
      </w: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>самоконтроля);</w:t>
      </w: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 xml:space="preserve"> - развитие речи, умения использовать при пересказе соответствующую терминологию;</w:t>
      </w: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>- развитие общеучебных умений и навыков.</w:t>
      </w:r>
    </w:p>
    <w:p w:rsid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F488B">
        <w:rPr>
          <w:rFonts w:ascii="Times New Roman" w:hAnsi="Times New Roman"/>
          <w:bCs/>
          <w:color w:val="000000"/>
          <w:sz w:val="24"/>
        </w:rPr>
        <w:t>Усвоение учебного материала по геометрии вызывает большие затруднения у учащихся 7 вида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Учет особенностей таких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геометрии с жизнью; актуализация первичного жизненного опыта учащихся.</w:t>
      </w:r>
    </w:p>
    <w:p w:rsidR="00EF488B" w:rsidRPr="00EF488B" w:rsidRDefault="00EF488B" w:rsidP="00EF48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1F366B" w:rsidRPr="001F366B" w:rsidRDefault="001F366B" w:rsidP="00705F2C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66B">
        <w:rPr>
          <w:rFonts w:ascii="Times New Roman" w:hAnsi="Times New Roman" w:cs="Times New Roman"/>
          <w:sz w:val="24"/>
          <w:szCs w:val="24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1F366B" w:rsidRPr="001F366B" w:rsidRDefault="001F366B" w:rsidP="00705F2C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66B">
        <w:rPr>
          <w:rFonts w:ascii="Times New Roman" w:hAnsi="Times New Roman" w:cs="Times New Roman"/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</w:t>
      </w:r>
    </w:p>
    <w:p w:rsidR="0023609B" w:rsidRDefault="001F366B" w:rsidP="00705F2C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66B">
        <w:rPr>
          <w:rFonts w:ascii="Times New Roman" w:hAnsi="Times New Roman" w:cs="Times New Roman"/>
          <w:sz w:val="24"/>
          <w:szCs w:val="24"/>
        </w:rPr>
        <w:t>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  <w:r w:rsidR="00B55F15">
        <w:rPr>
          <w:rFonts w:ascii="Times New Roman" w:hAnsi="Times New Roman" w:cs="Times New Roman"/>
          <w:sz w:val="24"/>
          <w:szCs w:val="24"/>
        </w:rPr>
        <w:t>.</w:t>
      </w:r>
    </w:p>
    <w:p w:rsid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9D">
        <w:rPr>
          <w:rFonts w:ascii="Times New Roman" w:hAnsi="Times New Roman" w:cs="Times New Roman"/>
          <w:i/>
          <w:sz w:val="24"/>
          <w:szCs w:val="24"/>
        </w:rPr>
        <w:t>Начальные геометрические сведения (7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систематизировать знания учащихся об основных свойствах простейших геометрических фигур, ввести понятие равенства фигур.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Материал данной темы посвящен введению основных геометрических понятий. Введение основных свойств простейших геометрических фигур проводится на основе</w:t>
      </w:r>
      <w:r w:rsidR="00C43364">
        <w:rPr>
          <w:rFonts w:ascii="Times New Roman" w:hAnsi="Times New Roman" w:cs="Times New Roman"/>
          <w:sz w:val="24"/>
          <w:szCs w:val="24"/>
        </w:rPr>
        <w:t xml:space="preserve"> </w:t>
      </w:r>
      <w:r w:rsidRPr="006C359D">
        <w:rPr>
          <w:rFonts w:ascii="Times New Roman" w:hAnsi="Times New Roman" w:cs="Times New Roman"/>
          <w:sz w:val="24"/>
          <w:szCs w:val="24"/>
        </w:rPr>
        <w:t>наглядных</w:t>
      </w:r>
      <w:r w:rsidR="002674BA">
        <w:rPr>
          <w:rFonts w:ascii="Times New Roman" w:hAnsi="Times New Roman" w:cs="Times New Roman"/>
          <w:sz w:val="24"/>
          <w:szCs w:val="24"/>
        </w:rPr>
        <w:t xml:space="preserve"> </w:t>
      </w:r>
      <w:r w:rsidRPr="006C359D">
        <w:rPr>
          <w:rFonts w:ascii="Times New Roman" w:hAnsi="Times New Roman" w:cs="Times New Roman"/>
          <w:sz w:val="24"/>
          <w:szCs w:val="24"/>
        </w:rPr>
        <w:t>представлений учащихся путем обобщения очевидных или известных из курса математики I—VI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2674BA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4BA">
        <w:rPr>
          <w:rFonts w:ascii="Times New Roman" w:hAnsi="Times New Roman" w:cs="Times New Roman"/>
          <w:i/>
          <w:sz w:val="24"/>
          <w:szCs w:val="24"/>
        </w:rPr>
        <w:t>Треугольники (14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 изучении темы следует основное внимание уделить формированию у учащихся умения доказывать равенство треугольников,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наглядности, решению задач по готовым чертежам.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2674BA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4BA">
        <w:rPr>
          <w:rFonts w:ascii="Times New Roman" w:hAnsi="Times New Roman" w:cs="Times New Roman"/>
          <w:i/>
          <w:sz w:val="24"/>
          <w:szCs w:val="24"/>
        </w:rPr>
        <w:t>Параллельные прямые (9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дать систематические сведения о параллельности прямых; ввести аксиому параллельных прямых.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 xml:space="preserve">Знания признаков параллельности прямых, свойств углов при 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Поэтому в ходе решения задач следует уделить значительное внимание формированию умений доказывать параллельность </w:t>
      </w:r>
      <w:r w:rsidRPr="006C359D">
        <w:rPr>
          <w:rFonts w:ascii="Times New Roman" w:hAnsi="Times New Roman" w:cs="Times New Roman"/>
          <w:sz w:val="24"/>
          <w:szCs w:val="24"/>
        </w:rPr>
        <w:lastRenderedPageBreak/>
        <w:t>прямых с использованием соответствующих признаков, находить равные углы при параллельных прямых и секущей.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2674BA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4BA">
        <w:rPr>
          <w:rFonts w:ascii="Times New Roman" w:hAnsi="Times New Roman" w:cs="Times New Roman"/>
          <w:i/>
          <w:sz w:val="24"/>
          <w:szCs w:val="24"/>
        </w:rPr>
        <w:t>Соотношения между сторонами и углами треугольника (15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расширить знания учащихся о треугольниках.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факт. Теорема позволяет получить важные следствия — свойство внешнего угла треугольника, некоторые свойства и признаки прямоугольных треугольников.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 введении понятия расстояния между параллельными прямыми у учащихся формируется представление о параллельных прямых как равноотстоящих друг от друга (точка, движущаяся по одной из параллельных прямых, все время находится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 решении задач на построение в VII классе рекомендуется ограничиваться только выполнением построения искомой фигуры циркулем и линейкой. В отдельных случаях можно проводить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Pr="002674BA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4BA">
        <w:rPr>
          <w:rFonts w:ascii="Times New Roman" w:hAnsi="Times New Roman" w:cs="Times New Roman"/>
          <w:i/>
          <w:sz w:val="24"/>
          <w:szCs w:val="24"/>
        </w:rPr>
        <w:t>Повторение. Решение задач (5 ч).</w:t>
      </w:r>
    </w:p>
    <w:p w:rsidR="006C359D" w:rsidRPr="00443286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3286" w:rsidRDefault="00443286" w:rsidP="00603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603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0363C" w:rsidRPr="0060363C" w:rsidRDefault="0060363C" w:rsidP="006036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геометрии </w:t>
      </w:r>
      <w:r w:rsidR="00244B4B"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Pr="0060363C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</w:p>
    <w:p w:rsidR="0060363C" w:rsidRPr="0060363C" w:rsidRDefault="0060363C" w:rsidP="006036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Уметь: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60363C" w:rsidRPr="0060363C" w:rsidRDefault="0060363C" w:rsidP="006036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расчётов, включающих простейшие тригонометрические формулы;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</w:t>
      </w:r>
      <w:r w:rsidR="00244B4B">
        <w:rPr>
          <w:rFonts w:ascii="Times New Roman" w:hAnsi="Times New Roman" w:cs="Times New Roman"/>
          <w:sz w:val="24"/>
          <w:szCs w:val="24"/>
        </w:rPr>
        <w:t>вочники и технические средства);</w:t>
      </w:r>
    </w:p>
    <w:p w:rsidR="006A6AF4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  <w:r w:rsidR="006A6AF4" w:rsidRPr="0060363C">
        <w:rPr>
          <w:rFonts w:ascii="Times New Roman" w:hAnsi="Times New Roman" w:cs="Times New Roman"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C43364" w:rsidRPr="00C43364"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</w:t>
      </w:r>
      <w:r w:rsidR="00C43364">
        <w:rPr>
          <w:rFonts w:ascii="Times New Roman" w:hAnsi="Times New Roman" w:cs="Times New Roman"/>
          <w:sz w:val="24"/>
          <w:szCs w:val="24"/>
        </w:rPr>
        <w:t>а</w:t>
      </w:r>
      <w:r w:rsidRPr="006A6AF4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C43364">
        <w:rPr>
          <w:rFonts w:ascii="Times New Roman" w:hAnsi="Times New Roman" w:cs="Times New Roman"/>
          <w:sz w:val="24"/>
          <w:szCs w:val="24"/>
        </w:rPr>
        <w:t>со 2-ой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четверти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336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часов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6308"/>
        <w:gridCol w:w="1561"/>
        <w:gridCol w:w="1583"/>
      </w:tblGrid>
      <w:tr w:rsidR="00C43364" w:rsidRPr="00D80AAA" w:rsidTr="00C43364">
        <w:tc>
          <w:tcPr>
            <w:tcW w:w="752" w:type="dxa"/>
            <w:vAlign w:val="center"/>
          </w:tcPr>
          <w:p w:rsidR="00C43364" w:rsidRPr="00197AEA" w:rsidRDefault="00C43364" w:rsidP="00C43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3" w:type="dxa"/>
            <w:vAlign w:val="center"/>
          </w:tcPr>
          <w:p w:rsidR="00C43364" w:rsidRPr="00197AEA" w:rsidRDefault="00C43364" w:rsidP="00C43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0" w:type="dxa"/>
          </w:tcPr>
          <w:p w:rsidR="00C43364" w:rsidRPr="00197AEA" w:rsidRDefault="00C43364" w:rsidP="00C4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40" w:type="dxa"/>
          </w:tcPr>
          <w:p w:rsidR="00C43364" w:rsidRPr="00197AEA" w:rsidRDefault="00C43364" w:rsidP="00C4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Начальные геометрические сведения </w:t>
            </w:r>
            <w:r w:rsidRPr="00D80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Прямая и отрезок. Луч и угол.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</w:t>
            </w:r>
            <w:r w:rsidRPr="005F6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99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(14 ч)</w:t>
            </w:r>
          </w:p>
        </w:tc>
        <w:tc>
          <w:tcPr>
            <w:tcW w:w="1440" w:type="dxa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«Треугольники»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99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(9 ч)</w:t>
            </w:r>
          </w:p>
        </w:tc>
        <w:tc>
          <w:tcPr>
            <w:tcW w:w="1440" w:type="dxa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Соотношения между сторонами и углами треугольника (16 ч)</w:t>
            </w:r>
          </w:p>
        </w:tc>
        <w:tc>
          <w:tcPr>
            <w:tcW w:w="1440" w:type="dxa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5F6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</w:t>
            </w:r>
            <w:r w:rsidRPr="005F6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175" w:type="dxa"/>
            <w:gridSpan w:val="2"/>
          </w:tcPr>
          <w:p w:rsidR="00C43364" w:rsidRPr="004D558E" w:rsidRDefault="00C43364" w:rsidP="00C4336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C43364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8C0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66793"/>
    <w:multiLevelType w:val="hybridMultilevel"/>
    <w:tmpl w:val="2FE4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E03D3A"/>
    <w:multiLevelType w:val="hybridMultilevel"/>
    <w:tmpl w:val="195ADC2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0EA7"/>
    <w:multiLevelType w:val="hybridMultilevel"/>
    <w:tmpl w:val="9074585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1248DA"/>
    <w:rsid w:val="001F366B"/>
    <w:rsid w:val="0023609B"/>
    <w:rsid w:val="00244B4B"/>
    <w:rsid w:val="002674BA"/>
    <w:rsid w:val="00322984"/>
    <w:rsid w:val="003722C7"/>
    <w:rsid w:val="00423C02"/>
    <w:rsid w:val="00443286"/>
    <w:rsid w:val="00453871"/>
    <w:rsid w:val="0053385A"/>
    <w:rsid w:val="00554540"/>
    <w:rsid w:val="00600067"/>
    <w:rsid w:val="0060363C"/>
    <w:rsid w:val="006A6AF4"/>
    <w:rsid w:val="006C359D"/>
    <w:rsid w:val="00705F2C"/>
    <w:rsid w:val="007E3570"/>
    <w:rsid w:val="00810E2B"/>
    <w:rsid w:val="008C023C"/>
    <w:rsid w:val="00A11715"/>
    <w:rsid w:val="00A44340"/>
    <w:rsid w:val="00A974ED"/>
    <w:rsid w:val="00A976A3"/>
    <w:rsid w:val="00B22BBE"/>
    <w:rsid w:val="00B55F15"/>
    <w:rsid w:val="00B95968"/>
    <w:rsid w:val="00BB4B91"/>
    <w:rsid w:val="00C14E83"/>
    <w:rsid w:val="00C43364"/>
    <w:rsid w:val="00CA2ABE"/>
    <w:rsid w:val="00EF488B"/>
    <w:rsid w:val="00F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1DC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31</cp:revision>
  <dcterms:created xsi:type="dcterms:W3CDTF">2016-11-12T07:43:00Z</dcterms:created>
  <dcterms:modified xsi:type="dcterms:W3CDTF">2017-02-26T06:36:00Z</dcterms:modified>
</cp:coreProperties>
</file>